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31" w:rsidRDefault="003D3999">
      <w:pPr>
        <w:spacing w:after="0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</w:rPr>
        <w:t xml:space="preserve">Informationsblatt nach Art. 13 und 14 der EU-Datenschutz-Grundverordnung (DS-GVO) </w:t>
      </w:r>
    </w:p>
    <w:p w:rsidR="00032231" w:rsidRDefault="003D3999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bei </w:t>
      </w:r>
      <w:r w:rsidR="00AA0E21">
        <w:rPr>
          <w:rFonts w:ascii="Arial Narrow" w:hAnsi="Arial Narrow" w:cs="Arial"/>
          <w:b/>
          <w:sz w:val="24"/>
          <w:szCs w:val="24"/>
        </w:rPr>
        <w:t>der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AA0E21">
        <w:rPr>
          <w:rFonts w:ascii="Arial Narrow" w:hAnsi="Arial Narrow" w:cs="Arial"/>
          <w:b/>
          <w:sz w:val="24"/>
          <w:szCs w:val="24"/>
        </w:rPr>
        <w:t>Stadt Herford</w:t>
      </w:r>
      <w:r>
        <w:rPr>
          <w:rFonts w:ascii="Arial Narrow" w:hAnsi="Arial Narrow" w:cs="Arial"/>
          <w:b/>
          <w:sz w:val="24"/>
          <w:szCs w:val="24"/>
        </w:rPr>
        <w:t xml:space="preserve"> im Zuge der partnerschaftlichen Aktivitäten</w:t>
      </w:r>
    </w:p>
    <w:p w:rsidR="00032231" w:rsidRDefault="00032231">
      <w:pPr>
        <w:spacing w:after="0"/>
        <w:rPr>
          <w:rFonts w:ascii="Arial Narrow" w:hAnsi="Arial Narrow" w:cs="Arial"/>
          <w:b/>
          <w:sz w:val="24"/>
        </w:rPr>
      </w:pPr>
    </w:p>
    <w:p w:rsidR="00032231" w:rsidRDefault="003D3999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Die DS-GVO bildet die gesetzliche Grundlage für die Verarbeitung Ihrer personenbezogenen Daten. Diese stärkt die Rechte der betroffenen Bürgerinnen und Bürger. Die Wahrung der Transparenz bei der Datenverarbeitung ist für </w:t>
      </w:r>
      <w:r w:rsidR="00AA0E21">
        <w:rPr>
          <w:rFonts w:ascii="Arial Narrow" w:hAnsi="Arial Narrow" w:cs="Arial"/>
          <w:sz w:val="20"/>
          <w:szCs w:val="20"/>
        </w:rPr>
        <w:t>die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0E21">
        <w:rPr>
          <w:rFonts w:ascii="Arial Narrow" w:hAnsi="Arial Narrow" w:cs="Arial"/>
          <w:sz w:val="20"/>
          <w:szCs w:val="20"/>
        </w:rPr>
        <w:t>Stadt Herford</w:t>
      </w:r>
      <w:r>
        <w:rPr>
          <w:rFonts w:ascii="Arial Narrow" w:hAnsi="Arial Narrow" w:cs="Arial"/>
          <w:sz w:val="20"/>
          <w:szCs w:val="20"/>
        </w:rPr>
        <w:t xml:space="preserve"> von besonderer Bedeutung. Hiermit kommen wir Ihrem Informationsanspruch nach und teilen Ihnen folgendes mit:</w:t>
      </w:r>
    </w:p>
    <w:p w:rsidR="00032231" w:rsidRDefault="00032231">
      <w:pPr>
        <w:pStyle w:val="KeinLeerraum"/>
        <w:rPr>
          <w:rFonts w:ascii="Arial Narrow" w:hAnsi="Arial Narrow"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5661"/>
      </w:tblGrid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Verantwortliche/r: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032231" w:rsidRDefault="00AA0E2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Hansestadt Herford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vertreten durch den/die Bürgermeister</w:t>
            </w:r>
          </w:p>
          <w:p w:rsidR="00032231" w:rsidRDefault="00AA0E2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Rathausplatz 1</w:t>
            </w:r>
          </w:p>
          <w:p w:rsidR="00032231" w:rsidRDefault="00AA0E2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32052 Herford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Tel.: </w:t>
            </w:r>
            <w:r w:rsidR="00AA0E21">
              <w:rPr>
                <w:rFonts w:ascii="Arial Narrow" w:eastAsia="Times New Roman" w:hAnsi="Arial Narrow" w:cs="Arial"/>
                <w:sz w:val="20"/>
                <w:szCs w:val="20"/>
              </w:rPr>
              <w:t>05221 189200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Fax: </w:t>
            </w:r>
            <w:r w:rsidR="00AA0E21">
              <w:rPr>
                <w:rFonts w:ascii="Arial Narrow" w:eastAsia="Times New Roman" w:hAnsi="Arial Narrow" w:cs="Arial"/>
                <w:sz w:val="20"/>
                <w:szCs w:val="20"/>
              </w:rPr>
              <w:t>05221 189888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E-Mail: </w:t>
            </w: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info@</w:t>
            </w:r>
            <w:r w:rsidR="00AA0E21"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herford</w:t>
            </w: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.de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032231" w:rsidRDefault="00AA0E2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Büro des Bürgermeisters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Datenschutzbeauftragte/r: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Datenschutzbeauftragte/r der </w:t>
            </w:r>
            <w:r w:rsidR="00AA0E21">
              <w:rPr>
                <w:rFonts w:ascii="Arial Narrow" w:eastAsia="Times New Roman" w:hAnsi="Arial Narrow" w:cs="Arial"/>
                <w:sz w:val="20"/>
                <w:szCs w:val="20"/>
              </w:rPr>
              <w:t>Hansestadt Herford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persönlich</w:t>
            </w:r>
          </w:p>
          <w:p w:rsidR="00032231" w:rsidRDefault="00AA0E2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Hansestadt Herford </w:t>
            </w:r>
          </w:p>
          <w:p w:rsidR="00AA0E21" w:rsidRDefault="00AA0E2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Rathausplatz 1</w:t>
            </w:r>
          </w:p>
          <w:p w:rsidR="00032231" w:rsidRDefault="00AA0E2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32052 Herford</w:t>
            </w:r>
          </w:p>
          <w:p w:rsidR="00032231" w:rsidRDefault="003D3999">
            <w:pPr>
              <w:spacing w:before="40" w:after="40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E-Mail: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datenschutz@</w:t>
            </w:r>
            <w:r w:rsidR="00AA0E21">
              <w:rPr>
                <w:rFonts w:ascii="Arial Narrow" w:hAnsi="Arial Narrow"/>
                <w:sz w:val="20"/>
                <w:szCs w:val="20"/>
                <w:u w:val="single"/>
              </w:rPr>
              <w:t>herford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.de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</w:pP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Zweck und Notwendigkeit: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032231" w:rsidRDefault="003D39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Die </w:t>
            </w:r>
            <w:r w:rsidR="00AA0E21">
              <w:rPr>
                <w:rFonts w:ascii="Arial Narrow" w:eastAsia="Times New Roman" w:hAnsi="Arial Narrow" w:cs="Arial"/>
                <w:sz w:val="20"/>
                <w:szCs w:val="20"/>
              </w:rPr>
              <w:t>Hansestadt Herford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verarbeitet personenbezogene Daten zum Zwecke der </w:t>
            </w:r>
            <w:r>
              <w:rPr>
                <w:rFonts w:ascii="Arial Narrow" w:hAnsi="Arial Narrow" w:cs="Arial"/>
                <w:sz w:val="20"/>
                <w:szCs w:val="20"/>
              </w:rPr>
              <w:t>Förderung, des Ausbaus und der Intensivierung von</w:t>
            </w:r>
          </w:p>
          <w:p w:rsidR="007A50B7" w:rsidRDefault="003D39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Städtepartnerschaften und partnerschaftlichen Aktivitäten mit den Städten</w:t>
            </w:r>
            <w:r w:rsidR="00AA0E2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7A50B7" w:rsidRDefault="007A50B7" w:rsidP="007A50B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Fredericia</w:t>
            </w:r>
            <w:proofErr w:type="spellEnd"/>
          </w:p>
          <w:p w:rsidR="007A50B7" w:rsidRDefault="007A50B7" w:rsidP="007A50B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Hinckley</w:t>
            </w:r>
            <w:proofErr w:type="spellEnd"/>
          </w:p>
          <w:p w:rsidR="007A50B7" w:rsidRDefault="007A50B7" w:rsidP="007A50B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Gorzow</w:t>
            </w:r>
            <w:proofErr w:type="spellEnd"/>
          </w:p>
          <w:p w:rsidR="007A50B7" w:rsidRDefault="007A50B7" w:rsidP="007A50B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Vodice</w:t>
            </w:r>
            <w:proofErr w:type="spellEnd"/>
          </w:p>
          <w:p w:rsidR="007A50B7" w:rsidRDefault="007A50B7" w:rsidP="007A50B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Quincy</w:t>
            </w:r>
          </w:p>
          <w:p w:rsidR="007A50B7" w:rsidRDefault="007A50B7" w:rsidP="007A50B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Manavgat</w:t>
            </w:r>
            <w:proofErr w:type="spellEnd"/>
          </w:p>
          <w:p w:rsidR="007A50B7" w:rsidRDefault="007A50B7" w:rsidP="007A50B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Xinbei</w:t>
            </w:r>
            <w:proofErr w:type="spellEnd"/>
          </w:p>
          <w:p w:rsidR="00032231" w:rsidRPr="007A50B7" w:rsidRDefault="007A50B7" w:rsidP="007A50B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Städteunion Quedlinburg, Han. Münden, Celle, Hameln</w:t>
            </w:r>
            <w:r w:rsidR="003D3999" w:rsidRPr="007A50B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32231" w:rsidRDefault="00032231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Rechtsgrundlage: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Die Verarbeitung der Daten erfolgt auf Grundlage von:</w:t>
            </w:r>
          </w:p>
          <w:p w:rsidR="00032231" w:rsidRDefault="005A3A2E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</w:rPr>
                <w:alias w:val="Rechtsgrundlage"/>
                <w:tag w:val="tag_rechtsgrundlage"/>
                <w:id w:val="-560637770"/>
                <w:lock w:val="sdtLocked"/>
                <w:placeholder>
                  <w:docPart w:val="DefaultPlaceholder_1082065159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3D3999">
                  <w:rPr>
                    <w:rFonts w:ascii="Arial Narrow" w:eastAsia="Times New Roman" w:hAnsi="Arial Narrow" w:cs="Arial"/>
                    <w:sz w:val="20"/>
                    <w:szCs w:val="20"/>
                  </w:rPr>
                  <w:t>Art. 6 Abs. 1 lit. a DS-GVO (Einwilligung der betroffenen Person)</w:t>
                </w:r>
              </w:sdtContent>
            </w:sdt>
            <w:r w:rsidR="003D3999"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</w:p>
          <w:p w:rsidR="00032231" w:rsidRDefault="005A3A2E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</w:rPr>
                <w:alias w:val="Rechtsgrundlage"/>
                <w:tag w:val="tag_rechtsgrundlage"/>
                <w:id w:val="534768026"/>
                <w:placeholder>
                  <w:docPart w:val="D4033A2EE4EF4B12A284969A0504FDAA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3D3999">
                  <w:rPr>
                    <w:rFonts w:ascii="Arial Narrow" w:eastAsia="Times New Roman" w:hAnsi="Arial Narrow" w:cs="Arial"/>
                    <w:sz w:val="20"/>
                  </w:rPr>
                  <w:t>Art. 6 Abs. 1 lit. e DS-GVO (Wahrnehmung einer Aufgabe)</w:t>
                </w:r>
              </w:sdtContent>
            </w:sdt>
            <w:r w:rsidR="003D3999">
              <w:rPr>
                <w:rFonts w:eastAsia="Times New Roman" w:cs="Arial"/>
              </w:rPr>
              <w:t>,</w:t>
            </w:r>
          </w:p>
          <w:p w:rsidR="00032231" w:rsidRPr="000B1875" w:rsidRDefault="007A50B7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  <w:r w:rsidRPr="000B1875">
              <w:rPr>
                <w:rFonts w:ascii="Arial Narrow" w:eastAsia="Times New Roman" w:hAnsi="Arial Narrow" w:cs="Arial"/>
                <w:sz w:val="20"/>
                <w:szCs w:val="20"/>
              </w:rPr>
              <w:t xml:space="preserve">Ratsbeschlüsse zu den entsprechenden </w:t>
            </w:r>
            <w:proofErr w:type="spellStart"/>
            <w:r w:rsidRPr="000B1875">
              <w:rPr>
                <w:rFonts w:ascii="Arial Narrow" w:eastAsia="Times New Roman" w:hAnsi="Arial Narrow" w:cs="Arial"/>
                <w:sz w:val="20"/>
                <w:szCs w:val="20"/>
              </w:rPr>
              <w:t>Partenschaften</w:t>
            </w:r>
            <w:proofErr w:type="spellEnd"/>
            <w:r w:rsidRPr="000B187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Kategorien personenbezogener Daten: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032231" w:rsidRDefault="003D3999" w:rsidP="000B187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Ggf. erhalten wir Daten von unseren Städtepartnern</w:t>
            </w:r>
            <w:r w:rsidR="000B187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Herkunft personenbezogener Daten: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Namen, Fotos</w:t>
            </w: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Empfänger/Kategorien von Empfängern: </w:t>
            </w:r>
          </w:p>
        </w:tc>
        <w:tc>
          <w:tcPr>
            <w:tcW w:w="582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Interne Stellen: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0B1875">
              <w:rPr>
                <w:rFonts w:ascii="Arial Narrow" w:eastAsia="Times New Roman" w:hAnsi="Arial Narrow" w:cs="Arial"/>
                <w:i/>
                <w:sz w:val="20"/>
                <w:szCs w:val="20"/>
              </w:rPr>
              <w:t>Büro Bürgermeister incl. Pressestelle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 </w:t>
            </w:r>
          </w:p>
          <w:p w:rsidR="00032231" w:rsidRDefault="003D3999" w:rsidP="000B1875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Externe Stellen: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:rsidR="000B1875" w:rsidRDefault="000B1875" w:rsidP="000B187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Alle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</w:rPr>
              <w:t>Partenstädte</w:t>
            </w:r>
            <w:proofErr w:type="spellEnd"/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lastRenderedPageBreak/>
              <w:t xml:space="preserve">Übermittlung an ein Drittland/internationale Organisation: </w:t>
            </w:r>
          </w:p>
        </w:tc>
        <w:tc>
          <w:tcPr>
            <w:tcW w:w="582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Eine Übermittlung der verarbeiteten Daten ist nicht vorgesehen.</w:t>
            </w: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Speicherdauer bzw. -kriterien: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032231" w:rsidRDefault="000B1875" w:rsidP="000B1875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Solange die Partnerschaft besteht</w:t>
            </w: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Betroffenenrechte: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032231" w:rsidRDefault="003D399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Auskunftsrecht (Art. 15)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br/>
              <w:t>Recht auf Berichtigung (Art. 16)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br/>
              <w:t>Recht auf Löschung (Art. 17)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br/>
              <w:t>Recht auf Einschränkung der Verarbeitung (Art. 18)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br/>
              <w:t>Recht auf Datenübertragbarkeit (Art. 20)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br/>
              <w:t>Widerspruchsrecht (Art. 21)</w:t>
            </w:r>
          </w:p>
          <w:p w:rsidR="00032231" w:rsidRDefault="0003223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Ihr Beschwerderecht (Art. 77) können Sie unter anderem bei der/dem Landesbeauftragte/n für Datenschutz und Informationsfreiheit Nordrhein-Westfalen wahrnehmen.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Kontaktdaten der Aufsichtsbehörde: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Landesbeauftragte für Datenschutz und Informationsfreiheit Nordrhein-Westfalen,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Postfach 20 04 44, 40102 Düsseldorf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Hausanschrift: Kavalleriestr. 2-4, 40213 Düsseldorf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Tel.: 0211 38424-0,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Fax-Nr.: 0211 38424-10,</w:t>
            </w:r>
          </w:p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E-Mail: poststelle@ldi.nrw.de.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Widerruf 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</w:rPr>
              <w:t>(nur auszufüllen, sofern die Verarbeitung der Daten auf einer Einwilligung beruht)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5824" w:type="dxa"/>
          </w:tcPr>
          <w:p w:rsidR="00032231" w:rsidRDefault="003D3999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Die Einwilligung kann jederzeit für die Zukunft widerrufen werden. Die Daten dürfen ab dem Zeitpunkt nicht mehr verwendet werden. Der Widerruf muss schriftlich erfolgen, es genügt die Mitteilung per E-Mail an die E-Mail-Adresse info@</w:t>
            </w:r>
            <w:r w:rsidR="000B1875">
              <w:rPr>
                <w:rFonts w:ascii="Arial Narrow" w:eastAsia="Times New Roman" w:hAnsi="Arial Narrow" w:cs="Arial"/>
                <w:sz w:val="20"/>
                <w:szCs w:val="20"/>
              </w:rPr>
              <w:t>herford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.de. Die Verarbeitung der Daten war bis zum Zeitpunkt des Widerrufes rechtmäßig.</w:t>
            </w:r>
          </w:p>
          <w:p w:rsidR="00032231" w:rsidRDefault="0003223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2231">
        <w:tc>
          <w:tcPr>
            <w:tcW w:w="3464" w:type="dxa"/>
          </w:tcPr>
          <w:p w:rsidR="00032231" w:rsidRDefault="003D3999">
            <w:pPr>
              <w:spacing w:before="40" w:after="4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Profiling</w:t>
            </w:r>
            <w:proofErr w:type="spellEnd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/Automatisierte Entscheidungsfindung: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 </w:t>
            </w:r>
          </w:p>
          <w:p w:rsidR="00032231" w:rsidRDefault="00032231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032231" w:rsidRDefault="003D3999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Ein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</w:rPr>
              <w:t>Profiling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/automatisierte Entscheidungsfindung seitens der </w:t>
            </w:r>
            <w:r w:rsidR="000B1875">
              <w:rPr>
                <w:rFonts w:ascii="Arial Narrow" w:eastAsia="Times New Roman" w:hAnsi="Arial Narrow" w:cs="Arial"/>
                <w:sz w:val="20"/>
                <w:szCs w:val="20"/>
              </w:rPr>
              <w:t>Hansestadt Herford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findet nicht statt. Bei einer Veröffentlichung der Daten im Internet kann ein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</w:rPr>
              <w:t>Profiling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durch Dritte (z.B. durch Suchmaschinen) nicht ausgeschlossen werden.</w:t>
            </w:r>
          </w:p>
          <w:p w:rsidR="00032231" w:rsidRDefault="003D3999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br/>
            </w:r>
          </w:p>
        </w:tc>
      </w:tr>
    </w:tbl>
    <w:p w:rsidR="00032231" w:rsidRDefault="00032231">
      <w:pPr>
        <w:pStyle w:val="KeinLeerraum"/>
        <w:rPr>
          <w:rFonts w:ascii="Arial Narrow" w:hAnsi="Arial Narrow"/>
          <w:bCs/>
          <w:sz w:val="20"/>
          <w:szCs w:val="20"/>
        </w:rPr>
      </w:pPr>
    </w:p>
    <w:sectPr w:rsidR="000322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2E" w:rsidRDefault="005A3A2E">
      <w:pPr>
        <w:spacing w:after="0" w:line="240" w:lineRule="auto"/>
      </w:pPr>
      <w:r>
        <w:separator/>
      </w:r>
    </w:p>
  </w:endnote>
  <w:endnote w:type="continuationSeparator" w:id="0">
    <w:p w:rsidR="005A3A2E" w:rsidRDefault="005A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50862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032231" w:rsidRDefault="003D3999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>
          <w:rPr>
            <w:rFonts w:ascii="Arial Narrow" w:hAnsi="Arial Narrow"/>
            <w:b/>
          </w:rPr>
          <w:fldChar w:fldCharType="begin"/>
        </w:r>
        <w:r>
          <w:rPr>
            <w:rFonts w:ascii="Arial Narrow" w:hAnsi="Arial Narrow"/>
            <w:b/>
          </w:rPr>
          <w:instrText>PAGE   \* MERGEFORMAT</w:instrText>
        </w:r>
        <w:r>
          <w:rPr>
            <w:rFonts w:ascii="Arial Narrow" w:hAnsi="Arial Narrow"/>
            <w:b/>
          </w:rPr>
          <w:fldChar w:fldCharType="separate"/>
        </w:r>
        <w:r w:rsidR="000243A1">
          <w:rPr>
            <w:rFonts w:ascii="Arial Narrow" w:hAnsi="Arial Narrow"/>
            <w:b/>
            <w:noProof/>
          </w:rPr>
          <w:t>2</w:t>
        </w:r>
        <w:r>
          <w:rPr>
            <w:rFonts w:ascii="Arial Narrow" w:hAnsi="Arial Narrow"/>
            <w:b/>
          </w:rPr>
          <w:fldChar w:fldCharType="end"/>
        </w:r>
        <w:r>
          <w:rPr>
            <w:rFonts w:ascii="Arial Narrow" w:hAnsi="Arial Narrow"/>
          </w:rPr>
          <w:t xml:space="preserve"> | </w:t>
        </w:r>
        <w:r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032231" w:rsidRDefault="003D3999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>
      <w:rPr>
        <w:rFonts w:ascii="Arial Narrow" w:hAnsi="Arial Narrow" w:cs="DINOffc-Medi"/>
        <w:b/>
        <w:sz w:val="20"/>
        <w:szCs w:val="20"/>
      </w:rPr>
      <w:t>Kommunales Rechenzentrum Minden-</w:t>
    </w:r>
    <w:proofErr w:type="spellStart"/>
    <w:r>
      <w:rPr>
        <w:rFonts w:ascii="Arial Narrow" w:hAnsi="Arial Narrow" w:cs="DINOffc-Medi"/>
        <w:b/>
        <w:sz w:val="20"/>
        <w:szCs w:val="20"/>
      </w:rPr>
      <w:t>Ravensberg</w:t>
    </w:r>
    <w:proofErr w:type="spellEnd"/>
    <w:r>
      <w:rPr>
        <w:rFonts w:ascii="Arial Narrow" w:hAnsi="Arial Narrow" w:cs="DINOffc-Medi"/>
        <w:b/>
        <w:sz w:val="20"/>
        <w:szCs w:val="20"/>
      </w:rPr>
      <w:t>/Lippe</w:t>
    </w:r>
  </w:p>
  <w:p w:rsidR="00032231" w:rsidRDefault="00032231">
    <w:pPr>
      <w:pStyle w:val="Fuzeil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0866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032231" w:rsidRDefault="003D3999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>
          <w:rPr>
            <w:rFonts w:ascii="Arial Narrow" w:hAnsi="Arial Narrow"/>
            <w:b/>
          </w:rPr>
          <w:fldChar w:fldCharType="begin"/>
        </w:r>
        <w:r>
          <w:rPr>
            <w:rFonts w:ascii="Arial Narrow" w:hAnsi="Arial Narrow"/>
            <w:b/>
          </w:rPr>
          <w:instrText>PAGE   \* MERGEFORMAT</w:instrText>
        </w:r>
        <w:r>
          <w:rPr>
            <w:rFonts w:ascii="Arial Narrow" w:hAnsi="Arial Narrow"/>
            <w:b/>
          </w:rPr>
          <w:fldChar w:fldCharType="separate"/>
        </w:r>
        <w:r w:rsidR="000243A1">
          <w:rPr>
            <w:rFonts w:ascii="Arial Narrow" w:hAnsi="Arial Narrow"/>
            <w:b/>
            <w:noProof/>
          </w:rPr>
          <w:t>1</w:t>
        </w:r>
        <w:r>
          <w:rPr>
            <w:rFonts w:ascii="Arial Narrow" w:hAnsi="Arial Narrow"/>
            <w:b/>
          </w:rPr>
          <w:fldChar w:fldCharType="end"/>
        </w:r>
        <w:r>
          <w:rPr>
            <w:rFonts w:ascii="Arial Narrow" w:hAnsi="Arial Narrow"/>
          </w:rPr>
          <w:t xml:space="preserve"> | </w:t>
        </w:r>
        <w:r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032231" w:rsidRDefault="003D3999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>
      <w:rPr>
        <w:rFonts w:ascii="Arial Narrow" w:hAnsi="Arial Narrow" w:cs="DINOffc-Medi"/>
        <w:b/>
        <w:sz w:val="20"/>
        <w:szCs w:val="20"/>
      </w:rPr>
      <w:t>Kommunales Rechenzentrum Minden-</w:t>
    </w:r>
    <w:proofErr w:type="spellStart"/>
    <w:r>
      <w:rPr>
        <w:rFonts w:ascii="Arial Narrow" w:hAnsi="Arial Narrow" w:cs="DINOffc-Medi"/>
        <w:b/>
        <w:sz w:val="20"/>
        <w:szCs w:val="20"/>
      </w:rPr>
      <w:t>Ravensberg</w:t>
    </w:r>
    <w:proofErr w:type="spellEnd"/>
    <w:r>
      <w:rPr>
        <w:rFonts w:ascii="Arial Narrow" w:hAnsi="Arial Narrow" w:cs="DINOffc-Medi"/>
        <w:b/>
        <w:sz w:val="20"/>
        <w:szCs w:val="20"/>
      </w:rPr>
      <w:t>/Lippe</w:t>
    </w:r>
  </w:p>
  <w:p w:rsidR="00032231" w:rsidRDefault="000322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2E" w:rsidRDefault="005A3A2E">
      <w:pPr>
        <w:spacing w:after="0" w:line="240" w:lineRule="auto"/>
      </w:pPr>
      <w:r>
        <w:separator/>
      </w:r>
    </w:p>
  </w:footnote>
  <w:footnote w:type="continuationSeparator" w:id="0">
    <w:p w:rsidR="005A3A2E" w:rsidRDefault="005A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31" w:rsidRDefault="003D3999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5339080</wp:posOffset>
          </wp:positionH>
          <wp:positionV relativeFrom="margin">
            <wp:posOffset>-177800</wp:posOffset>
          </wp:positionV>
          <wp:extent cx="758190" cy="474980"/>
          <wp:effectExtent l="0" t="0" r="3810" b="1270"/>
          <wp:wrapSquare wrapText="bothSides"/>
          <wp:docPr id="9" name="Grafik 9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pacing w:val="60"/>
      </w:rPr>
      <w:tab/>
    </w:r>
    <w:r>
      <w:rPr>
        <w:color w:val="808080" w:themeColor="background1" w:themeShade="80"/>
        <w:spacing w:val="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31" w:rsidRDefault="003D3999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-486410</wp:posOffset>
          </wp:positionV>
          <wp:extent cx="758190" cy="474980"/>
          <wp:effectExtent l="0" t="0" r="3810" b="1270"/>
          <wp:wrapSquare wrapText="bothSides"/>
          <wp:docPr id="10" name="Grafik 10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149C"/>
    <w:multiLevelType w:val="hybridMultilevel"/>
    <w:tmpl w:val="D25EE592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9922B26"/>
    <w:multiLevelType w:val="hybridMultilevel"/>
    <w:tmpl w:val="26DC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26AD"/>
    <w:multiLevelType w:val="multilevel"/>
    <w:tmpl w:val="F2B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C45AD"/>
    <w:multiLevelType w:val="hybridMultilevel"/>
    <w:tmpl w:val="5C802236"/>
    <w:lvl w:ilvl="0" w:tplc="B7C0E7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65415"/>
    <w:multiLevelType w:val="hybridMultilevel"/>
    <w:tmpl w:val="C2804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617E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59D3"/>
    <w:multiLevelType w:val="multilevel"/>
    <w:tmpl w:val="88D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12769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589B"/>
    <w:multiLevelType w:val="hybridMultilevel"/>
    <w:tmpl w:val="082617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36515"/>
    <w:multiLevelType w:val="hybridMultilevel"/>
    <w:tmpl w:val="24100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31"/>
    <w:rsid w:val="000243A1"/>
    <w:rsid w:val="00032231"/>
    <w:rsid w:val="000B1875"/>
    <w:rsid w:val="003D3999"/>
    <w:rsid w:val="004F16F2"/>
    <w:rsid w:val="005A3A2E"/>
    <w:rsid w:val="007A50B7"/>
    <w:rsid w:val="0087603E"/>
    <w:rsid w:val="00AA0E21"/>
    <w:rsid w:val="00D2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6BE21-E27F-470C-931D-61B245126025}"/>
      </w:docPartPr>
      <w:docPartBody>
        <w:p w:rsidR="00C87589" w:rsidRDefault="00E0640F"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4033A2EE4EF4B12A284969A0504F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B8C15-B8B0-4786-80E6-5AA9595E0728}"/>
      </w:docPartPr>
      <w:docPartBody>
        <w:p w:rsidR="00C87589" w:rsidRDefault="00E0640F">
          <w:pPr>
            <w:pStyle w:val="D4033A2EE4EF4B12A284969A0504FDAA1"/>
          </w:pPr>
          <w:r>
            <w:rPr>
              <w:rStyle w:val="Platzhaltertext"/>
              <w:rFonts w:ascii="Arial Narrow" w:hAnsi="Arial Narrow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89"/>
    <w:rsid w:val="006D4170"/>
    <w:rsid w:val="00C87589"/>
    <w:rsid w:val="00C95D42"/>
    <w:rsid w:val="00E0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19A4"/>
    <w:rPr>
      <w:color w:val="808080"/>
    </w:rPr>
  </w:style>
  <w:style w:type="paragraph" w:customStyle="1" w:styleId="5DF08E26ECFD4083B9706FF3F34DBB61">
    <w:name w:val="5DF08E26ECFD4083B9706FF3F34DBB61"/>
    <w:rsid w:val="003E694B"/>
    <w:rPr>
      <w:rFonts w:eastAsiaTheme="minorHAnsi"/>
      <w:lang w:eastAsia="en-US"/>
    </w:rPr>
  </w:style>
  <w:style w:type="paragraph" w:customStyle="1" w:styleId="6C2D150177304A19A34503D7D7493FE5">
    <w:name w:val="6C2D150177304A19A34503D7D7493FE5"/>
    <w:rsid w:val="00022C7E"/>
  </w:style>
  <w:style w:type="paragraph" w:customStyle="1" w:styleId="888B424B108843188B463B489597AA1C">
    <w:name w:val="888B424B108843188B463B489597AA1C"/>
    <w:rsid w:val="00022C7E"/>
  </w:style>
  <w:style w:type="paragraph" w:customStyle="1" w:styleId="8D8F833D21D747239166CCDBF81131CA">
    <w:name w:val="8D8F833D21D747239166CCDBF81131CA"/>
    <w:rsid w:val="00022C7E"/>
  </w:style>
  <w:style w:type="paragraph" w:customStyle="1" w:styleId="D4033A2EE4EF4B12A284969A0504FDAA">
    <w:name w:val="D4033A2EE4EF4B12A284969A0504FDAA"/>
    <w:rsid w:val="009532C9"/>
  </w:style>
  <w:style w:type="paragraph" w:customStyle="1" w:styleId="D4033A2EE4EF4B12A284969A0504FDAA1">
    <w:name w:val="D4033A2EE4EF4B12A284969A0504FDAA1"/>
    <w:rsid w:val="002319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2025-08-05T14:10:00Z</dcterms:created>
  <dcterms:modified xsi:type="dcterms:W3CDTF">2025-08-05T14:10:00Z</dcterms:modified>
</cp:coreProperties>
</file>