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8D" w:rsidRDefault="00C8237B">
      <w:pPr>
        <w:spacing w:after="0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"/>
          <w:b/>
          <w:sz w:val="24"/>
          <w:szCs w:val="24"/>
        </w:rPr>
        <w:t xml:space="preserve">Informationsblatt nach Art. 13 der EU-Datenschutz-Grundverordnung (DS-GVO) </w:t>
      </w:r>
    </w:p>
    <w:p w:rsidR="00E8018D" w:rsidRDefault="00C8237B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bei der </w:t>
      </w:r>
      <w:r w:rsidR="00F419B6">
        <w:rPr>
          <w:rFonts w:ascii="Arial Narrow" w:hAnsi="Arial Narrow" w:cs="Arial"/>
          <w:b/>
          <w:sz w:val="24"/>
          <w:szCs w:val="24"/>
        </w:rPr>
        <w:t>Hansestadt Herford</w:t>
      </w:r>
      <w:r>
        <w:rPr>
          <w:rFonts w:ascii="Arial Narrow" w:hAnsi="Arial Narrow" w:cs="Arial"/>
          <w:b/>
          <w:sz w:val="24"/>
          <w:szCs w:val="24"/>
        </w:rPr>
        <w:t xml:space="preserve"> im Zuge der Ehrung von Ehe- und Altersjubiläen</w:t>
      </w:r>
    </w:p>
    <w:p w:rsidR="00E8018D" w:rsidRDefault="00E8018D">
      <w:pPr>
        <w:spacing w:after="0"/>
        <w:rPr>
          <w:rFonts w:ascii="Arial Narrow" w:hAnsi="Arial Narrow" w:cs="Arial"/>
          <w:b/>
          <w:sz w:val="24"/>
        </w:rPr>
      </w:pPr>
    </w:p>
    <w:p w:rsidR="00E8018D" w:rsidRDefault="00C8237B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Die DS-GVO bildet die gesetzliche Grundlage für die Verarbeitung Ihrer personenbezogenen Daten. Diese stärkt die Rechte der betroffenen Bürgerinnen und Bürger. Die Wahrung der Transparenz bei de</w:t>
      </w:r>
      <w:r w:rsidR="00F419B6">
        <w:rPr>
          <w:rFonts w:ascii="Arial Narrow" w:hAnsi="Arial Narrow" w:cs="Arial"/>
          <w:sz w:val="20"/>
          <w:szCs w:val="20"/>
        </w:rPr>
        <w:t>r Datenverarbeitung ist für die Hansestadt Herford</w:t>
      </w:r>
      <w:r>
        <w:rPr>
          <w:rFonts w:ascii="Arial Narrow" w:hAnsi="Arial Narrow" w:cs="Arial"/>
          <w:sz w:val="20"/>
          <w:szCs w:val="20"/>
        </w:rPr>
        <w:t xml:space="preserve"> von besonderer Bedeutung. Hiermit kommen wir Ihrem Informationsanspruch nach und teilen Ihnen folgendes mit:</w:t>
      </w:r>
    </w:p>
    <w:p w:rsidR="00E8018D" w:rsidRDefault="00E8018D">
      <w:pPr>
        <w:pStyle w:val="KeinLeerraum"/>
        <w:rPr>
          <w:rFonts w:ascii="Arial Narrow" w:hAnsi="Arial Narrow"/>
          <w:bCs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5665"/>
      </w:tblGrid>
      <w:tr w:rsidR="00E8018D">
        <w:tc>
          <w:tcPr>
            <w:tcW w:w="3464" w:type="dxa"/>
          </w:tcPr>
          <w:p w:rsidR="00E8018D" w:rsidRDefault="00C8237B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Verantwortliche/r: </w:t>
            </w:r>
          </w:p>
          <w:p w:rsidR="00E8018D" w:rsidRDefault="00E8018D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E8018D" w:rsidRDefault="00F419B6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Hansestadt Herford</w:t>
            </w:r>
          </w:p>
          <w:p w:rsidR="00E8018D" w:rsidRDefault="00C8237B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vertrete</w:t>
            </w:r>
            <w:r w:rsidR="00A6180D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n durch den Bürgermeister</w:t>
            </w:r>
          </w:p>
          <w:p w:rsidR="00E8018D" w:rsidRDefault="00F419B6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Rathausplatz 1</w:t>
            </w:r>
          </w:p>
          <w:p w:rsidR="00E8018D" w:rsidRDefault="00F419B6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32052 Herford</w:t>
            </w:r>
          </w:p>
          <w:p w:rsidR="00E8018D" w:rsidRDefault="00E8018D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:rsidR="00E8018D" w:rsidRDefault="00C8237B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Tel.: </w:t>
            </w:r>
            <w:r w:rsidR="00F419B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05221 189-0</w:t>
            </w:r>
          </w:p>
          <w:p w:rsidR="00E8018D" w:rsidRDefault="00C8237B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E-Mail: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u w:val="single"/>
              </w:rPr>
              <w:t>info@</w:t>
            </w:r>
            <w:r w:rsidR="00F419B6">
              <w:rPr>
                <w:rFonts w:ascii="Arial Narrow" w:eastAsia="Times New Roman" w:hAnsi="Arial Narrow" w:cs="Arial"/>
                <w:color w:val="000000"/>
                <w:sz w:val="20"/>
                <w:szCs w:val="20"/>
                <w:u w:val="single"/>
              </w:rPr>
              <w:t>herford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u w:val="single"/>
              </w:rPr>
              <w:t>.de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</w:p>
          <w:p w:rsidR="00E8018D" w:rsidRDefault="00E8018D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:rsidR="00E8018D" w:rsidRDefault="00F419B6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Dez. I/Haupt-und Personalabteilung</w:t>
            </w:r>
          </w:p>
          <w:p w:rsidR="00E8018D" w:rsidRDefault="00E8018D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</w:tc>
      </w:tr>
      <w:tr w:rsidR="00E8018D">
        <w:tc>
          <w:tcPr>
            <w:tcW w:w="3464" w:type="dxa"/>
          </w:tcPr>
          <w:p w:rsidR="00E8018D" w:rsidRDefault="00C8237B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Datenschutzbeauftragte/r: </w:t>
            </w:r>
          </w:p>
          <w:p w:rsidR="00E8018D" w:rsidRDefault="00E8018D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E8018D" w:rsidRDefault="00F419B6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Datenschutzbeauftragte</w:t>
            </w:r>
            <w:r w:rsidR="00C1170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/</w:t>
            </w:r>
            <w:r w:rsidR="002F096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</w:t>
            </w:r>
            <w:r w:rsidR="00C8237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der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Hansestadt Herford</w:t>
            </w:r>
            <w:r w:rsidR="00C8237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</w:p>
          <w:p w:rsidR="00E8018D" w:rsidRDefault="00C8237B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u w:val="single"/>
              </w:rPr>
              <w:t>persönlich</w:t>
            </w:r>
          </w:p>
          <w:p w:rsidR="00E8018D" w:rsidRDefault="00F419B6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Hansestadt Herford</w:t>
            </w:r>
          </w:p>
          <w:p w:rsidR="00E8018D" w:rsidRDefault="00F419B6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Rathausplatz 1</w:t>
            </w:r>
          </w:p>
          <w:p w:rsidR="00DE36F2" w:rsidRDefault="00F419B6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32052 Herford</w:t>
            </w:r>
          </w:p>
          <w:p w:rsidR="00E8018D" w:rsidRPr="00DE36F2" w:rsidRDefault="00C8237B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E-Mail: </w:t>
            </w:r>
            <w:r>
              <w:rPr>
                <w:rFonts w:ascii="Arial Narrow" w:hAnsi="Arial Narrow"/>
                <w:sz w:val="20"/>
                <w:szCs w:val="20"/>
                <w:u w:val="single"/>
              </w:rPr>
              <w:t>datenschutz@</w:t>
            </w:r>
            <w:r w:rsidR="00A6180D">
              <w:rPr>
                <w:rFonts w:ascii="Arial Narrow" w:hAnsi="Arial Narrow"/>
                <w:sz w:val="20"/>
                <w:szCs w:val="20"/>
                <w:u w:val="single"/>
              </w:rPr>
              <w:t>herford</w:t>
            </w:r>
            <w:r>
              <w:rPr>
                <w:rFonts w:ascii="Arial Narrow" w:hAnsi="Arial Narrow"/>
                <w:sz w:val="20"/>
                <w:szCs w:val="20"/>
                <w:u w:val="single"/>
              </w:rPr>
              <w:t>.de</w:t>
            </w:r>
          </w:p>
          <w:p w:rsidR="00E8018D" w:rsidRDefault="00E8018D">
            <w:pPr>
              <w:spacing w:before="40" w:after="40"/>
              <w:rPr>
                <w:rFonts w:ascii="Arial Narrow" w:eastAsia="Times New Roman" w:hAnsi="Arial Narrow" w:cs="Arial"/>
                <w:color w:val="0000FF" w:themeColor="hyperlink"/>
                <w:sz w:val="20"/>
                <w:szCs w:val="20"/>
                <w:u w:val="single"/>
              </w:rPr>
            </w:pPr>
          </w:p>
        </w:tc>
      </w:tr>
      <w:tr w:rsidR="00E8018D">
        <w:tc>
          <w:tcPr>
            <w:tcW w:w="3464" w:type="dxa"/>
          </w:tcPr>
          <w:p w:rsidR="00E8018D" w:rsidRDefault="00C8237B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Zweck und Notwendigkeit: </w:t>
            </w:r>
          </w:p>
          <w:p w:rsidR="00E8018D" w:rsidRDefault="00E8018D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E8018D" w:rsidRDefault="00C8237B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Die </w:t>
            </w:r>
            <w:r w:rsidR="00A6180D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Hansestadt Herford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verarbeitet personenbezogene Daten zum Zweck der Ehrung von Alters- und Ehejubiläen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E8018D" w:rsidRDefault="00C8237B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E8018D">
        <w:tc>
          <w:tcPr>
            <w:tcW w:w="3464" w:type="dxa"/>
          </w:tcPr>
          <w:p w:rsidR="00E8018D" w:rsidRDefault="00C8237B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Rechtsgrundlage: </w:t>
            </w:r>
          </w:p>
          <w:p w:rsidR="00E8018D" w:rsidRDefault="00E8018D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E8018D" w:rsidRDefault="00C8237B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Die Verarbeitung der Daten erfolgt auf Grundlage von:</w:t>
            </w:r>
          </w:p>
          <w:p w:rsidR="00E8018D" w:rsidRPr="00DE36F2" w:rsidRDefault="002D75DF">
            <w:pPr>
              <w:pStyle w:val="Listenabsatz"/>
              <w:numPr>
                <w:ilvl w:val="0"/>
                <w:numId w:val="9"/>
              </w:numPr>
              <w:spacing w:before="40" w:after="4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sdt>
              <w:sdtPr>
                <w:rPr>
                  <w:rFonts w:ascii="Arial Narrow" w:eastAsia="Times New Roman" w:hAnsi="Arial Narrow" w:cs="Arial"/>
                  <w:color w:val="000000"/>
                  <w:sz w:val="20"/>
                  <w:szCs w:val="20"/>
                </w:rPr>
                <w:alias w:val="Rechtsgrundlage"/>
                <w:tag w:val="tag_rechtsgrundlage"/>
                <w:id w:val="-560637770"/>
                <w:lock w:val="sdtLocked"/>
                <w:placeholder>
                  <w:docPart w:val="DefaultPlaceholder_1082065159"/>
                </w:placeholder>
                <w:dropDownList>
                  <w:listItem w:value="Wählen Sie ein Element aus."/>
                  <w:listItem w:displayText="Art. 6 Abs. 1 lit. a DS-GVO (Einwilligung der betroffenen Person)" w:value="Art. 6 Abs. 1 lit. a DS-GVO (Einwilligung der betroffenen Person)"/>
                  <w:listItem w:displayText="Art. 6 Abs. 1 lit. b DS-GVO (Erfüllung eines Vertrages)" w:value="Art. 6 Abs. 1 lit. b DS-GVO (Erfüllung eines Vertrages)"/>
                  <w:listItem w:displayText="Art. 6 Abs. 1 lit. c DS-GVO (Erfüllung einer rechtlichen Verpflichtung)" w:value="Art. 6 Abs. 1 lit. c DS-GVO (Erfüllung einer rechtlichen Verpflichtung)"/>
                  <w:listItem w:displayText="Art. 6 Abs. 1 lit. d DS-GVO (lebenswichtige Interessen schützen)" w:value="Art. 6 Abs. 1 lit. d DS-GVO (lebenswichtige Interessen schützen)"/>
                  <w:listItem w:displayText="Art. 6 Abs. 1 lit. e DS-GVO (Wahrnehmung einer Aufgabe)" w:value="Art. 6 Abs. 1 lit. e DS-GVO (Wahrnehmung einer Aufgabe)"/>
                  <w:listItem w:displayText="Art. 6 Abs. 1 lit. f DS-GVO (Wahrung berechtigter Interessen)" w:value="Art. 6 Abs. 1 lit. f DS-GVO (Wahrung berechtigter Interessen)"/>
                </w:dropDownList>
              </w:sdtPr>
              <w:sdtEndPr/>
              <w:sdtContent>
                <w:r w:rsidR="00C8237B">
                  <w:rPr>
                    <w:rFonts w:ascii="Arial Narrow" w:eastAsia="Times New Roman" w:hAnsi="Arial Narrow" w:cs="Arial"/>
                    <w:color w:val="000000"/>
                    <w:sz w:val="20"/>
                    <w:szCs w:val="20"/>
                  </w:rPr>
                  <w:t>Art. 6 Abs. 1 lit. e DS-GVO (Wahrnehmung einer Aufgabe)</w:t>
                </w:r>
              </w:sdtContent>
            </w:sdt>
            <w:r w:rsidR="00C8237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i.V.m.</w:t>
            </w:r>
            <w:r w:rsidR="00DE36F2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</w:p>
          <w:p w:rsidR="00DE36F2" w:rsidRPr="00DE36F2" w:rsidRDefault="00DE36F2" w:rsidP="00DE36F2">
            <w:pPr>
              <w:pStyle w:val="Listenabsatz"/>
              <w:numPr>
                <w:ilvl w:val="0"/>
                <w:numId w:val="9"/>
              </w:numPr>
              <w:spacing w:before="40" w:after="4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 w:rsidRPr="00DE36F2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Art. 6 Abs. 1 lit.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</w:t>
            </w:r>
            <w:r w:rsidR="00FD28F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DS-GVO (Einwilligung der betroffenen Person/en)</w:t>
            </w:r>
          </w:p>
          <w:p w:rsidR="00E8018D" w:rsidRPr="00DE36F2" w:rsidRDefault="00C8237B" w:rsidP="00DE36F2">
            <w:pPr>
              <w:pStyle w:val="Listenabsatz"/>
              <w:numPr>
                <w:ilvl w:val="0"/>
                <w:numId w:val="9"/>
              </w:numPr>
              <w:spacing w:before="40" w:after="4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 w:rsidRPr="00DE36F2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§ 50 Abs. 2 Bundesmeldegesetz (BMG)</w:t>
            </w:r>
          </w:p>
          <w:p w:rsidR="00E8018D" w:rsidRDefault="00E8018D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</w:tc>
      </w:tr>
      <w:tr w:rsidR="00E8018D">
        <w:tc>
          <w:tcPr>
            <w:tcW w:w="3464" w:type="dxa"/>
          </w:tcPr>
          <w:p w:rsidR="00E8018D" w:rsidRDefault="00C8237B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Empfänger/Kategorien von Empfängern: </w:t>
            </w:r>
          </w:p>
        </w:tc>
        <w:tc>
          <w:tcPr>
            <w:tcW w:w="5824" w:type="dxa"/>
          </w:tcPr>
          <w:p w:rsidR="00E8018D" w:rsidRDefault="00C8237B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u w:val="single"/>
              </w:rPr>
              <w:t>Interne Stellen:</w:t>
            </w:r>
          </w:p>
          <w:p w:rsidR="00C309C0" w:rsidRDefault="00C309C0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Sofern notwendig, werden personenbezogene Daten an nachfolgende interne Organisationseinheiten weitergeleitet:</w:t>
            </w:r>
          </w:p>
          <w:p w:rsidR="00C309C0" w:rsidRDefault="00FD28F3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Büro des Bürgermeisters</w:t>
            </w:r>
            <w:r w:rsidR="00D3182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 w:rsidR="00555F8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zur eventuellen</w:t>
            </w:r>
            <w:r w:rsidR="00D3182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Durchführung von Gratulationen durch den Bürgermeister</w:t>
            </w:r>
            <w:r w:rsidR="00555F8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oder seiner</w:t>
            </w:r>
            <w:r w:rsidR="006D1F5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Stellvertreter</w:t>
            </w:r>
          </w:p>
          <w:p w:rsidR="00D31826" w:rsidRDefault="00D31826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3182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Personenstandswesen</w:t>
            </w: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 w:rsidR="00FD28F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zur Nachfrage bei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unklaren Eheschließungsdaten</w:t>
            </w:r>
          </w:p>
          <w:p w:rsidR="00E8018D" w:rsidRDefault="00E8018D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:rsidR="00E8018D" w:rsidRDefault="00C8237B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u w:val="single"/>
              </w:rPr>
              <w:t>Externe Stellen:</w:t>
            </w:r>
          </w:p>
          <w:p w:rsidR="00753508" w:rsidRDefault="006D1F5E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6D1F5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Kreis Herford –Verwaltungsleitung-</w:t>
            </w: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zur Antragstellung von Glückwunschschreiben</w:t>
            </w:r>
          </w:p>
          <w:p w:rsidR="006D1F5E" w:rsidRDefault="006D1F5E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6D1F5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Bundesverwaltungsamt Köln</w:t>
            </w: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zur Antragstellung von Glückwunschschreiben</w:t>
            </w:r>
          </w:p>
          <w:p w:rsidR="00026043" w:rsidRDefault="006D1F5E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6D1F5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Regionale Presse</w:t>
            </w: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zur Veröffentlichung des Jubiläums</w:t>
            </w:r>
            <w:r w:rsidR="0002604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="00260C2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(bei Einwilligung)</w:t>
            </w:r>
          </w:p>
          <w:p w:rsidR="006D1F5E" w:rsidRPr="006D1F5E" w:rsidRDefault="006D1F5E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  <w:p w:rsidR="00E8018D" w:rsidRDefault="00E8018D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E8018D">
        <w:tc>
          <w:tcPr>
            <w:tcW w:w="3464" w:type="dxa"/>
          </w:tcPr>
          <w:p w:rsidR="00E8018D" w:rsidRDefault="00C8237B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Übermittlung an ein Drittland/internationale Organisation: </w:t>
            </w:r>
          </w:p>
          <w:p w:rsidR="00E8018D" w:rsidRDefault="00E8018D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E8018D" w:rsidRDefault="00C8237B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lastRenderedPageBreak/>
              <w:t>Eine Übermittlung der verarbeiteten Daten ist nicht vorgesehen.</w:t>
            </w:r>
          </w:p>
        </w:tc>
      </w:tr>
      <w:tr w:rsidR="00E8018D">
        <w:tc>
          <w:tcPr>
            <w:tcW w:w="3464" w:type="dxa"/>
          </w:tcPr>
          <w:p w:rsidR="00E8018D" w:rsidRDefault="00C8237B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Speicherdauer bzw. -kriterien:</w:t>
            </w:r>
          </w:p>
          <w:p w:rsidR="00E8018D" w:rsidRDefault="00E8018D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E8018D" w:rsidRDefault="007248BC" w:rsidP="007248B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Einen Monat ab Ende des Monates indem das Jubiläum stattfand</w:t>
            </w:r>
          </w:p>
        </w:tc>
      </w:tr>
      <w:tr w:rsidR="00E8018D">
        <w:tc>
          <w:tcPr>
            <w:tcW w:w="3464" w:type="dxa"/>
          </w:tcPr>
          <w:p w:rsidR="00E8018D" w:rsidRDefault="00C8237B">
            <w:pPr>
              <w:spacing w:before="40" w:after="40"/>
              <w:rPr>
                <w:rFonts w:ascii="Arial Narrow" w:eastAsia="Times New Roman" w:hAnsi="Arial Narrow" w:cs="Arial"/>
                <w:i/>
                <w:color w:val="FF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Betroffenenrechte:</w:t>
            </w:r>
            <w:r>
              <w:rPr>
                <w:rFonts w:ascii="Arial Narrow" w:eastAsia="Times New Roman" w:hAnsi="Arial Narrow" w:cs="Arial"/>
                <w:i/>
                <w:color w:val="FF0000"/>
                <w:sz w:val="20"/>
                <w:szCs w:val="20"/>
              </w:rPr>
              <w:t xml:space="preserve"> </w:t>
            </w:r>
          </w:p>
          <w:p w:rsidR="00E8018D" w:rsidRDefault="00E8018D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E8018D" w:rsidRDefault="00C8237B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Auskunftsrecht (Art. 15)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  <w:t>Recht auf Berichtigung (Art. 16)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  <w:t>Recht auf Löschung (Art. 17)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  <w:t>Recht auf Einschränkung der Verarbeitung (Art. 18)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  <w:t>Recht auf Datenübertragbarkeit (Art. 20)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  <w:t>Widerspruchsrecht (Art. 21)</w:t>
            </w:r>
          </w:p>
          <w:p w:rsidR="00E8018D" w:rsidRDefault="00E8018D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:rsidR="00E8018D" w:rsidRDefault="00C8237B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Ihr Beschwerderecht (Art. 77) können Sie unter anderem bei der/dem Landesbeauftragte/n für Datenschutz und Informationsfreiheit Nordrhein-Westfalen wahrnehmen.</w:t>
            </w:r>
          </w:p>
          <w:p w:rsidR="00E8018D" w:rsidRDefault="00E8018D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:rsidR="00E8018D" w:rsidRDefault="00C8237B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Kontaktdaten der Aufsichtsbehörde:</w:t>
            </w:r>
          </w:p>
          <w:p w:rsidR="00E8018D" w:rsidRDefault="00C8237B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Landesbeauftragte für Datenschutz und Informationsfreiheit Nordrhein-Westfalen,</w:t>
            </w:r>
          </w:p>
          <w:p w:rsidR="00E8018D" w:rsidRDefault="00C8237B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Postfach 20 04 44, 40102 Düsseldorf</w:t>
            </w:r>
          </w:p>
          <w:p w:rsidR="00E8018D" w:rsidRDefault="00C8237B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Hausanschrift: Kavalleriestr. 2-4, 40213 Düsseldorf</w:t>
            </w:r>
          </w:p>
          <w:p w:rsidR="00E8018D" w:rsidRDefault="00C8237B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Tel.: 0211 38424-0,</w:t>
            </w:r>
          </w:p>
          <w:p w:rsidR="00E8018D" w:rsidRDefault="00C8237B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Fax-Nr.: 0211 38424-10,</w:t>
            </w:r>
          </w:p>
          <w:p w:rsidR="00E8018D" w:rsidRDefault="00C8237B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E-Mail: poststelle@ldi.nrw.de.</w:t>
            </w:r>
          </w:p>
          <w:p w:rsidR="00E8018D" w:rsidRDefault="00E8018D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</w:tc>
      </w:tr>
      <w:tr w:rsidR="00E8018D">
        <w:tc>
          <w:tcPr>
            <w:tcW w:w="3464" w:type="dxa"/>
          </w:tcPr>
          <w:p w:rsidR="00E8018D" w:rsidRDefault="00C8237B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Widerspruch:</w:t>
            </w:r>
          </w:p>
          <w:p w:rsidR="00E8018D" w:rsidRDefault="00E8018D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  <w:p w:rsidR="00E8018D" w:rsidRDefault="00E8018D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E8018D" w:rsidRDefault="00C8237B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Die betroffene Person hat das Recht, der Übermittlung ihrer Daten nach den Absätzen 1 bis 3 zu widersprechen.</w:t>
            </w:r>
          </w:p>
          <w:p w:rsidR="00E8018D" w:rsidRDefault="00C8237B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Der Widerspruch kann jederzeit bei der Meldebehörde eingereicht werden. Die Verarbeitung der Daten war bis zum Zeitpunkt des Widerspruchs rechtmäßig.</w:t>
            </w:r>
          </w:p>
        </w:tc>
      </w:tr>
    </w:tbl>
    <w:p w:rsidR="00E8018D" w:rsidRDefault="00E8018D">
      <w:pPr>
        <w:pStyle w:val="KeinLeerraum"/>
        <w:rPr>
          <w:rFonts w:ascii="Arial Narrow" w:hAnsi="Arial Narrow"/>
          <w:bCs/>
          <w:sz w:val="20"/>
          <w:szCs w:val="20"/>
        </w:rPr>
      </w:pPr>
    </w:p>
    <w:sectPr w:rsidR="00E8018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5DF" w:rsidRDefault="002D75DF">
      <w:pPr>
        <w:spacing w:after="0" w:line="240" w:lineRule="auto"/>
      </w:pPr>
      <w:r>
        <w:separator/>
      </w:r>
    </w:p>
  </w:endnote>
  <w:endnote w:type="continuationSeparator" w:id="0">
    <w:p w:rsidR="002D75DF" w:rsidRDefault="002D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Offc-Med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50862"/>
      <w:docPartObj>
        <w:docPartGallery w:val="Page Numbers (Bottom of Page)"/>
        <w:docPartUnique/>
      </w:docPartObj>
    </w:sdtPr>
    <w:sdtEndPr>
      <w:rPr>
        <w:rFonts w:ascii="Arial Narrow" w:hAnsi="Arial Narrow"/>
        <w:color w:val="808080" w:themeColor="background1" w:themeShade="80"/>
        <w:spacing w:val="60"/>
      </w:rPr>
    </w:sdtEndPr>
    <w:sdtContent>
      <w:p w:rsidR="00E8018D" w:rsidRDefault="00C8237B">
        <w:pPr>
          <w:pStyle w:val="Fuzeile"/>
          <w:pBdr>
            <w:top w:val="single" w:sz="4" w:space="1" w:color="D9D9D9" w:themeColor="background1" w:themeShade="D9"/>
          </w:pBdr>
          <w:jc w:val="right"/>
          <w:rPr>
            <w:rFonts w:ascii="Arial Narrow" w:hAnsi="Arial Narrow"/>
          </w:rPr>
        </w:pPr>
        <w:r>
          <w:rPr>
            <w:rFonts w:ascii="Arial Narrow" w:hAnsi="Arial Narrow"/>
            <w:b/>
          </w:rPr>
          <w:fldChar w:fldCharType="begin"/>
        </w:r>
        <w:r>
          <w:rPr>
            <w:rFonts w:ascii="Arial Narrow" w:hAnsi="Arial Narrow"/>
            <w:b/>
          </w:rPr>
          <w:instrText>PAGE   \* MERGEFORMAT</w:instrText>
        </w:r>
        <w:r>
          <w:rPr>
            <w:rFonts w:ascii="Arial Narrow" w:hAnsi="Arial Narrow"/>
            <w:b/>
          </w:rPr>
          <w:fldChar w:fldCharType="separate"/>
        </w:r>
        <w:r w:rsidR="00382BCE">
          <w:rPr>
            <w:rFonts w:ascii="Arial Narrow" w:hAnsi="Arial Narrow"/>
            <w:b/>
            <w:noProof/>
          </w:rPr>
          <w:t>2</w:t>
        </w:r>
        <w:r>
          <w:rPr>
            <w:rFonts w:ascii="Arial Narrow" w:hAnsi="Arial Narrow"/>
            <w:b/>
          </w:rPr>
          <w:fldChar w:fldCharType="end"/>
        </w:r>
        <w:r>
          <w:rPr>
            <w:rFonts w:ascii="Arial Narrow" w:hAnsi="Arial Narrow"/>
          </w:rPr>
          <w:t xml:space="preserve"> | </w:t>
        </w:r>
        <w:r>
          <w:rPr>
            <w:rFonts w:ascii="Arial Narrow" w:hAnsi="Arial Narrow"/>
            <w:color w:val="808080" w:themeColor="background1" w:themeShade="80"/>
            <w:spacing w:val="60"/>
          </w:rPr>
          <w:t>Seite</w:t>
        </w:r>
      </w:p>
    </w:sdtContent>
  </w:sdt>
  <w:p w:rsidR="00E8018D" w:rsidRDefault="00C8237B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DINOffc-Medi"/>
        <w:b/>
        <w:sz w:val="20"/>
        <w:szCs w:val="20"/>
      </w:rPr>
    </w:pPr>
    <w:r>
      <w:rPr>
        <w:rFonts w:ascii="Arial Narrow" w:hAnsi="Arial Narrow" w:cs="DINOffc-Medi"/>
        <w:b/>
        <w:sz w:val="20"/>
        <w:szCs w:val="20"/>
      </w:rPr>
      <w:t>Kommunales Rechenzentrum Minden-Ravensberg/Lippe</w:t>
    </w:r>
  </w:p>
  <w:p w:rsidR="00E8018D" w:rsidRDefault="00E8018D">
    <w:pPr>
      <w:pStyle w:val="Fuzeile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260866"/>
      <w:docPartObj>
        <w:docPartGallery w:val="Page Numbers (Bottom of Page)"/>
        <w:docPartUnique/>
      </w:docPartObj>
    </w:sdtPr>
    <w:sdtEndPr>
      <w:rPr>
        <w:rFonts w:ascii="Arial Narrow" w:hAnsi="Arial Narrow"/>
        <w:color w:val="808080" w:themeColor="background1" w:themeShade="80"/>
        <w:spacing w:val="60"/>
      </w:rPr>
    </w:sdtEndPr>
    <w:sdtContent>
      <w:p w:rsidR="00E8018D" w:rsidRDefault="00C8237B">
        <w:pPr>
          <w:pStyle w:val="Fuzeile"/>
          <w:pBdr>
            <w:top w:val="single" w:sz="4" w:space="1" w:color="D9D9D9" w:themeColor="background1" w:themeShade="D9"/>
          </w:pBdr>
          <w:jc w:val="right"/>
          <w:rPr>
            <w:rFonts w:ascii="Arial Narrow" w:hAnsi="Arial Narrow"/>
          </w:rPr>
        </w:pPr>
        <w:r>
          <w:rPr>
            <w:rFonts w:ascii="Arial Narrow" w:hAnsi="Arial Narrow"/>
            <w:b/>
          </w:rPr>
          <w:fldChar w:fldCharType="begin"/>
        </w:r>
        <w:r>
          <w:rPr>
            <w:rFonts w:ascii="Arial Narrow" w:hAnsi="Arial Narrow"/>
            <w:b/>
          </w:rPr>
          <w:instrText>PAGE   \* MERGEFORMAT</w:instrText>
        </w:r>
        <w:r>
          <w:rPr>
            <w:rFonts w:ascii="Arial Narrow" w:hAnsi="Arial Narrow"/>
            <w:b/>
          </w:rPr>
          <w:fldChar w:fldCharType="separate"/>
        </w:r>
        <w:r w:rsidR="00382BCE">
          <w:rPr>
            <w:rFonts w:ascii="Arial Narrow" w:hAnsi="Arial Narrow"/>
            <w:b/>
            <w:noProof/>
          </w:rPr>
          <w:t>1</w:t>
        </w:r>
        <w:r>
          <w:rPr>
            <w:rFonts w:ascii="Arial Narrow" w:hAnsi="Arial Narrow"/>
            <w:b/>
          </w:rPr>
          <w:fldChar w:fldCharType="end"/>
        </w:r>
        <w:r>
          <w:rPr>
            <w:rFonts w:ascii="Arial Narrow" w:hAnsi="Arial Narrow"/>
          </w:rPr>
          <w:t xml:space="preserve"> | </w:t>
        </w:r>
        <w:r>
          <w:rPr>
            <w:rFonts w:ascii="Arial Narrow" w:hAnsi="Arial Narrow"/>
            <w:color w:val="808080" w:themeColor="background1" w:themeShade="80"/>
            <w:spacing w:val="60"/>
          </w:rPr>
          <w:t>Seite</w:t>
        </w:r>
      </w:p>
    </w:sdtContent>
  </w:sdt>
  <w:p w:rsidR="00E8018D" w:rsidRDefault="00C8237B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DINOffc-Medi"/>
        <w:b/>
        <w:sz w:val="20"/>
        <w:szCs w:val="20"/>
      </w:rPr>
    </w:pPr>
    <w:r>
      <w:rPr>
        <w:rFonts w:ascii="Arial Narrow" w:hAnsi="Arial Narrow" w:cs="DINOffc-Medi"/>
        <w:b/>
        <w:sz w:val="20"/>
        <w:szCs w:val="20"/>
      </w:rPr>
      <w:t>Kommunales Rechenzentrum Minden-Ravensberg/Lippe</w:t>
    </w:r>
  </w:p>
  <w:p w:rsidR="00E8018D" w:rsidRDefault="00E801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5DF" w:rsidRDefault="002D75DF">
      <w:pPr>
        <w:spacing w:after="0" w:line="240" w:lineRule="auto"/>
      </w:pPr>
      <w:r>
        <w:separator/>
      </w:r>
    </w:p>
  </w:footnote>
  <w:footnote w:type="continuationSeparator" w:id="0">
    <w:p w:rsidR="002D75DF" w:rsidRDefault="002D7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18D" w:rsidRDefault="00C8237B">
    <w:pPr>
      <w:pStyle w:val="Kopfzeile"/>
    </w:pPr>
    <w:r>
      <w:rPr>
        <w:b/>
        <w:noProof/>
        <w:sz w:val="28"/>
        <w:szCs w:val="24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5339080</wp:posOffset>
          </wp:positionH>
          <wp:positionV relativeFrom="margin">
            <wp:posOffset>-177800</wp:posOffset>
          </wp:positionV>
          <wp:extent cx="758190" cy="474980"/>
          <wp:effectExtent l="0" t="0" r="3810" b="1270"/>
          <wp:wrapSquare wrapText="bothSides"/>
          <wp:docPr id="9" name="Grafik 9" descr="N:\A600ORGA\KRZ-Logo\KRZ_200_1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A600ORGA\KRZ-Logo\KRZ_200_12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808080" w:themeColor="background1" w:themeShade="80"/>
        <w:spacing w:val="60"/>
      </w:rPr>
      <w:tab/>
    </w:r>
    <w:r>
      <w:rPr>
        <w:color w:val="808080" w:themeColor="background1" w:themeShade="80"/>
        <w:spacing w:val="6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18D" w:rsidRDefault="00C8237B">
    <w:pPr>
      <w:pStyle w:val="Kopfzeile"/>
    </w:pPr>
    <w:r>
      <w:rPr>
        <w:b/>
        <w:noProof/>
        <w:sz w:val="28"/>
        <w:szCs w:val="24"/>
        <w:lang w:eastAsia="de-D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-486410</wp:posOffset>
          </wp:positionV>
          <wp:extent cx="758190" cy="474980"/>
          <wp:effectExtent l="0" t="0" r="3810" b="1270"/>
          <wp:wrapSquare wrapText="bothSides"/>
          <wp:docPr id="10" name="Grafik 10" descr="N:\A600ORGA\KRZ-Logo\KRZ_200_1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A600ORGA\KRZ-Logo\KRZ_200_12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B67"/>
    <w:multiLevelType w:val="hybridMultilevel"/>
    <w:tmpl w:val="E160A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149C"/>
    <w:multiLevelType w:val="hybridMultilevel"/>
    <w:tmpl w:val="D25EE592"/>
    <w:lvl w:ilvl="0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19922B26"/>
    <w:multiLevelType w:val="hybridMultilevel"/>
    <w:tmpl w:val="26DC3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126AD"/>
    <w:multiLevelType w:val="multilevel"/>
    <w:tmpl w:val="F2B4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865415"/>
    <w:multiLevelType w:val="hybridMultilevel"/>
    <w:tmpl w:val="C2804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1617E"/>
    <w:multiLevelType w:val="hybridMultilevel"/>
    <w:tmpl w:val="BA8E84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659D3"/>
    <w:multiLevelType w:val="multilevel"/>
    <w:tmpl w:val="88D2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612769"/>
    <w:multiLevelType w:val="hybridMultilevel"/>
    <w:tmpl w:val="BA8E84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B589B"/>
    <w:multiLevelType w:val="hybridMultilevel"/>
    <w:tmpl w:val="082617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8D"/>
    <w:rsid w:val="00026043"/>
    <w:rsid w:val="00260C26"/>
    <w:rsid w:val="002D75DF"/>
    <w:rsid w:val="002F0961"/>
    <w:rsid w:val="00382BCE"/>
    <w:rsid w:val="00386075"/>
    <w:rsid w:val="00555F88"/>
    <w:rsid w:val="006D1F5E"/>
    <w:rsid w:val="007248BC"/>
    <w:rsid w:val="00753508"/>
    <w:rsid w:val="00952CD5"/>
    <w:rsid w:val="00A6180D"/>
    <w:rsid w:val="00A906AF"/>
    <w:rsid w:val="00BF3095"/>
    <w:rsid w:val="00C11706"/>
    <w:rsid w:val="00C309C0"/>
    <w:rsid w:val="00C8237B"/>
    <w:rsid w:val="00D31826"/>
    <w:rsid w:val="00DE36F2"/>
    <w:rsid w:val="00E8018D"/>
    <w:rsid w:val="00ED2B99"/>
    <w:rsid w:val="00F419B6"/>
    <w:rsid w:val="00FC5A74"/>
    <w:rsid w:val="00FD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6BE21-E27F-470C-931D-61B245126025}"/>
      </w:docPartPr>
      <w:docPartBody>
        <w:p w:rsidR="00030FCC" w:rsidRDefault="00030FCC"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Offc-Med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CC"/>
    <w:rsid w:val="00030FCC"/>
    <w:rsid w:val="002E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32C9"/>
    <w:rPr>
      <w:color w:val="808080"/>
    </w:rPr>
  </w:style>
  <w:style w:type="paragraph" w:customStyle="1" w:styleId="5DF08E26ECFD4083B9706FF3F34DBB61">
    <w:name w:val="5DF08E26ECFD4083B9706FF3F34DBB61"/>
    <w:rsid w:val="003E694B"/>
    <w:rPr>
      <w:rFonts w:eastAsiaTheme="minorHAnsi"/>
      <w:lang w:eastAsia="en-US"/>
    </w:rPr>
  </w:style>
  <w:style w:type="paragraph" w:customStyle="1" w:styleId="6C2D150177304A19A34503D7D7493FE5">
    <w:name w:val="6C2D150177304A19A34503D7D7493FE5"/>
    <w:rsid w:val="00022C7E"/>
  </w:style>
  <w:style w:type="paragraph" w:customStyle="1" w:styleId="888B424B108843188B463B489597AA1C">
    <w:name w:val="888B424B108843188B463B489597AA1C"/>
    <w:rsid w:val="00022C7E"/>
  </w:style>
  <w:style w:type="paragraph" w:customStyle="1" w:styleId="8D8F833D21D747239166CCDBF81131CA">
    <w:name w:val="8D8F833D21D747239166CCDBF81131CA"/>
    <w:rsid w:val="00022C7E"/>
  </w:style>
  <w:style w:type="paragraph" w:customStyle="1" w:styleId="D4033A2EE4EF4B12A284969A0504FDAA">
    <w:name w:val="D4033A2EE4EF4B12A284969A0504FDAA"/>
    <w:rsid w:val="009532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2025-08-05T14:08:00Z</dcterms:created>
  <dcterms:modified xsi:type="dcterms:W3CDTF">2025-08-05T14:08:00Z</dcterms:modified>
</cp:coreProperties>
</file>